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D9879" w14:textId="77777777" w:rsidR="00D60793" w:rsidRDefault="00D60793" w:rsidP="00D60793">
      <w:pPr>
        <w:pStyle w:val="Heading3"/>
        <w:spacing w:before="100" w:beforeAutospacing="1" w:after="100" w:afterAutospacing="1" w:line="240" w:lineRule="auto"/>
        <w:contextualSpacing/>
        <w:jc w:val="center"/>
        <w:rPr>
          <w:rFonts w:ascii="Times New Roman" w:hAnsi="Times New Roman" w:cs="Times New Roman"/>
          <w:b/>
          <w:bCs/>
          <w:caps/>
          <w:color w:val="auto"/>
          <w:sz w:val="24"/>
          <w:szCs w:val="24"/>
        </w:rPr>
      </w:pPr>
    </w:p>
    <w:p w14:paraId="6AD79683" w14:textId="77777777" w:rsidR="00D60793" w:rsidRDefault="00F340E8" w:rsidP="00D60793">
      <w:pPr>
        <w:pStyle w:val="Heading3"/>
        <w:spacing w:before="100" w:beforeAutospacing="1" w:after="100" w:afterAutospacing="1" w:line="240" w:lineRule="auto"/>
        <w:contextualSpacing/>
        <w:jc w:val="center"/>
        <w:rPr>
          <w:rFonts w:ascii="Times New Roman" w:hAnsi="Times New Roman" w:cs="Times New Roman"/>
          <w:b/>
          <w:bCs/>
          <w:caps/>
          <w:color w:val="auto"/>
          <w:sz w:val="24"/>
          <w:szCs w:val="24"/>
        </w:rPr>
      </w:pPr>
      <w:r w:rsidRPr="00976C6F">
        <w:rPr>
          <w:rFonts w:ascii="Times New Roman" w:hAnsi="Times New Roman" w:cs="Times New Roman"/>
          <w:b/>
          <w:bCs/>
          <w:caps/>
          <w:color w:val="auto"/>
          <w:sz w:val="24"/>
          <w:szCs w:val="24"/>
        </w:rPr>
        <w:t xml:space="preserve">RINKOS ANALIZĖS </w:t>
      </w:r>
      <w:r w:rsidR="00976C6F">
        <w:rPr>
          <w:rFonts w:ascii="Times New Roman" w:hAnsi="Times New Roman" w:cs="Times New Roman"/>
          <w:b/>
          <w:bCs/>
          <w:caps/>
          <w:color w:val="auto"/>
          <w:sz w:val="24"/>
          <w:szCs w:val="24"/>
        </w:rPr>
        <w:t>ATLIKIMO</w:t>
      </w:r>
      <w:r w:rsidRPr="00976C6F">
        <w:rPr>
          <w:rFonts w:ascii="Times New Roman" w:hAnsi="Times New Roman" w:cs="Times New Roman"/>
          <w:b/>
          <w:bCs/>
          <w:caps/>
          <w:color w:val="auto"/>
          <w:sz w:val="24"/>
          <w:szCs w:val="24"/>
        </w:rPr>
        <w:t xml:space="preserve"> paslaugų pirkim</w:t>
      </w:r>
      <w:r w:rsidR="00976C6F">
        <w:rPr>
          <w:rFonts w:ascii="Times New Roman" w:hAnsi="Times New Roman" w:cs="Times New Roman"/>
          <w:b/>
          <w:bCs/>
          <w:caps/>
          <w:color w:val="auto"/>
          <w:sz w:val="24"/>
          <w:szCs w:val="24"/>
        </w:rPr>
        <w:t xml:space="preserve">O </w:t>
      </w:r>
    </w:p>
    <w:p w14:paraId="15BCE85E" w14:textId="48CC90B0" w:rsidR="00F340E8" w:rsidRPr="00976C6F" w:rsidRDefault="00976C6F" w:rsidP="00D60793">
      <w:pPr>
        <w:pStyle w:val="Heading3"/>
        <w:spacing w:before="100" w:beforeAutospacing="1" w:after="100" w:afterAutospacing="1" w:line="240" w:lineRule="auto"/>
        <w:contextualSpacing/>
        <w:jc w:val="center"/>
        <w:rPr>
          <w:rFonts w:ascii="Times New Roman" w:hAnsi="Times New Roman" w:cs="Times New Roman"/>
          <w:b/>
          <w:bCs/>
          <w:caps/>
          <w:color w:val="auto"/>
          <w:sz w:val="24"/>
          <w:szCs w:val="24"/>
        </w:rPr>
      </w:pPr>
      <w:r>
        <w:rPr>
          <w:rFonts w:ascii="Times New Roman" w:hAnsi="Times New Roman" w:cs="Times New Roman"/>
          <w:b/>
          <w:bCs/>
          <w:caps/>
          <w:color w:val="auto"/>
          <w:sz w:val="24"/>
          <w:szCs w:val="24"/>
        </w:rPr>
        <w:t>TECHNINĖ SPECIFIKACIJA</w:t>
      </w:r>
    </w:p>
    <w:p w14:paraId="551810EB" w14:textId="2364D971" w:rsidR="0048217A" w:rsidRPr="0048217A" w:rsidRDefault="0048217A" w:rsidP="00892C87">
      <w:pPr>
        <w:numPr>
          <w:ilvl w:val="0"/>
          <w:numId w:val="6"/>
        </w:numPr>
        <w:tabs>
          <w:tab w:val="left" w:pos="993"/>
        </w:tabs>
        <w:spacing w:before="100" w:beforeAutospacing="1" w:after="100" w:afterAutospacing="1" w:line="240" w:lineRule="auto"/>
        <w:contextualSpacing/>
        <w:rPr>
          <w:rFonts w:ascii="Times New Roman" w:hAnsi="Times New Roman" w:cs="Times New Roman"/>
          <w:sz w:val="24"/>
          <w:szCs w:val="24"/>
        </w:rPr>
      </w:pPr>
      <w:r w:rsidRPr="0048217A">
        <w:rPr>
          <w:rFonts w:ascii="Times New Roman" w:hAnsi="Times New Roman" w:cs="Times New Roman"/>
          <w:sz w:val="24"/>
          <w:szCs w:val="24"/>
        </w:rPr>
        <w:t xml:space="preserve">Inovacijų konsultacinių ir paramos paslaugų: pažangių vandenilio sprendimų kūrimui ir vystymui vidaus degimo variklių srityje rinkos analizės atlikimo pagal VšĮ „Lietuvos inovacijų centras“ finansuojamą projektą „MISIJOMIS GRĮSTŲ MOKSLO IR INOVACIJŲ PROGRAMŲ ĮGYVENDINIMAS“ (Nr. 02-002-P-0001) paslaugos. </w:t>
      </w:r>
    </w:p>
    <w:p w14:paraId="174DDBD1" w14:textId="77777777" w:rsidR="0048217A" w:rsidRPr="0048217A" w:rsidRDefault="0048217A" w:rsidP="00892C87">
      <w:pPr>
        <w:numPr>
          <w:ilvl w:val="0"/>
          <w:numId w:val="6"/>
        </w:numPr>
        <w:tabs>
          <w:tab w:val="left" w:pos="993"/>
        </w:tabs>
        <w:spacing w:before="100" w:beforeAutospacing="1" w:after="100" w:afterAutospacing="1" w:line="240" w:lineRule="auto"/>
        <w:contextualSpacing/>
        <w:rPr>
          <w:rFonts w:ascii="Times New Roman" w:hAnsi="Times New Roman" w:cs="Times New Roman"/>
          <w:sz w:val="24"/>
          <w:szCs w:val="24"/>
        </w:rPr>
      </w:pPr>
      <w:r w:rsidRPr="0048217A">
        <w:rPr>
          <w:rFonts w:ascii="Times New Roman" w:hAnsi="Times New Roman" w:cs="Times New Roman"/>
          <w:b/>
          <w:bCs/>
          <w:sz w:val="24"/>
          <w:szCs w:val="24"/>
        </w:rPr>
        <w:t>Paslaugų teikėjas:</w:t>
      </w:r>
      <w:r w:rsidRPr="0048217A">
        <w:rPr>
          <w:rFonts w:ascii="Times New Roman" w:hAnsi="Times New Roman" w:cs="Times New Roman"/>
          <w:sz w:val="24"/>
          <w:szCs w:val="24"/>
        </w:rPr>
        <w:br/>
        <w:t xml:space="preserve">Atrenkamas viešųjų pirkimų būdu. </w:t>
      </w:r>
    </w:p>
    <w:p w14:paraId="20F6AF9A" w14:textId="77777777" w:rsidR="0048217A" w:rsidRPr="0048217A" w:rsidRDefault="0048217A" w:rsidP="00892C87">
      <w:pPr>
        <w:numPr>
          <w:ilvl w:val="0"/>
          <w:numId w:val="6"/>
        </w:numPr>
        <w:tabs>
          <w:tab w:val="left" w:pos="993"/>
        </w:tabs>
        <w:spacing w:before="100" w:beforeAutospacing="1" w:after="100" w:afterAutospacing="1" w:line="240" w:lineRule="auto"/>
        <w:contextualSpacing/>
        <w:rPr>
          <w:rFonts w:ascii="Times New Roman" w:hAnsi="Times New Roman" w:cs="Times New Roman"/>
          <w:sz w:val="24"/>
          <w:szCs w:val="24"/>
        </w:rPr>
      </w:pPr>
      <w:r w:rsidRPr="0048217A">
        <w:rPr>
          <w:rFonts w:ascii="Times New Roman" w:hAnsi="Times New Roman" w:cs="Times New Roman"/>
          <w:b/>
          <w:bCs/>
          <w:sz w:val="24"/>
          <w:szCs w:val="24"/>
        </w:rPr>
        <w:t>Užsakovas:</w:t>
      </w:r>
      <w:r w:rsidRPr="0048217A">
        <w:rPr>
          <w:rFonts w:ascii="Times New Roman" w:hAnsi="Times New Roman" w:cs="Times New Roman"/>
          <w:sz w:val="24"/>
          <w:szCs w:val="24"/>
        </w:rPr>
        <w:br/>
        <w:t xml:space="preserve">VšĮ „Lietuvos inovacijų centras“ (toliau – Perkančioji organizacija). </w:t>
      </w:r>
    </w:p>
    <w:p w14:paraId="32BB7625" w14:textId="77777777" w:rsidR="0048217A" w:rsidRPr="0048217A" w:rsidRDefault="0048217A" w:rsidP="00892C87">
      <w:pPr>
        <w:numPr>
          <w:ilvl w:val="0"/>
          <w:numId w:val="6"/>
        </w:numPr>
        <w:tabs>
          <w:tab w:val="left" w:pos="993"/>
        </w:tabs>
        <w:spacing w:before="100" w:beforeAutospacing="1" w:after="100" w:afterAutospacing="1" w:line="240" w:lineRule="auto"/>
        <w:contextualSpacing/>
        <w:rPr>
          <w:rFonts w:ascii="Times New Roman" w:hAnsi="Times New Roman" w:cs="Times New Roman"/>
          <w:sz w:val="24"/>
          <w:szCs w:val="24"/>
        </w:rPr>
      </w:pPr>
      <w:r w:rsidRPr="0048217A">
        <w:rPr>
          <w:rFonts w:ascii="Times New Roman" w:hAnsi="Times New Roman" w:cs="Times New Roman"/>
          <w:b/>
          <w:bCs/>
          <w:sz w:val="24"/>
          <w:szCs w:val="24"/>
        </w:rPr>
        <w:t>Paslaugų apibūdinimas:</w:t>
      </w:r>
      <w:r w:rsidRPr="0048217A">
        <w:rPr>
          <w:rFonts w:ascii="Times New Roman" w:hAnsi="Times New Roman" w:cs="Times New Roman"/>
          <w:sz w:val="24"/>
          <w:szCs w:val="24"/>
        </w:rPr>
        <w:br/>
        <w:t xml:space="preserve">Inovacijų konsultacinės ir paramos paslaugos </w:t>
      </w:r>
      <w:proofErr w:type="spellStart"/>
      <w:r w:rsidRPr="0048217A">
        <w:rPr>
          <w:rFonts w:ascii="Times New Roman" w:hAnsi="Times New Roman" w:cs="Times New Roman"/>
          <w:sz w:val="24"/>
          <w:szCs w:val="24"/>
        </w:rPr>
        <w:t>atžalinei</w:t>
      </w:r>
      <w:proofErr w:type="spellEnd"/>
      <w:r w:rsidRPr="0048217A">
        <w:rPr>
          <w:rFonts w:ascii="Times New Roman" w:hAnsi="Times New Roman" w:cs="Times New Roman"/>
          <w:sz w:val="24"/>
          <w:szCs w:val="24"/>
        </w:rPr>
        <w:t xml:space="preserve"> įmonei, kurias sudaro šios pagrindinės dalys:</w:t>
      </w:r>
      <w:r w:rsidRPr="0048217A">
        <w:rPr>
          <w:rFonts w:ascii="Times New Roman" w:hAnsi="Times New Roman" w:cs="Times New Roman"/>
          <w:sz w:val="24"/>
          <w:szCs w:val="24"/>
        </w:rPr>
        <w:br/>
        <w:t>4.1. konsultacinės paslaugos – technologinio sprendinio techninių, ekonominių ir aplinkosauginių aspektų vertinimas (rinkotyra);</w:t>
      </w:r>
      <w:r w:rsidRPr="0048217A">
        <w:rPr>
          <w:rFonts w:ascii="Times New Roman" w:hAnsi="Times New Roman" w:cs="Times New Roman"/>
          <w:sz w:val="24"/>
          <w:szCs w:val="24"/>
        </w:rPr>
        <w:br/>
        <w:t xml:space="preserve">4.2. paramos paslaugos – eksperimentiniai medžiagų sąveikos su vandeniliu tyrimai ir rezultatų analizė. </w:t>
      </w:r>
    </w:p>
    <w:p w14:paraId="5CB0430E" w14:textId="77777777" w:rsidR="0048217A" w:rsidRPr="0048217A" w:rsidRDefault="0048217A" w:rsidP="00892C87">
      <w:pPr>
        <w:numPr>
          <w:ilvl w:val="0"/>
          <w:numId w:val="6"/>
        </w:numPr>
        <w:tabs>
          <w:tab w:val="left" w:pos="993"/>
        </w:tabs>
        <w:spacing w:before="100" w:beforeAutospacing="1" w:after="100" w:afterAutospacing="1" w:line="240" w:lineRule="auto"/>
        <w:contextualSpacing/>
        <w:rPr>
          <w:rFonts w:ascii="Times New Roman" w:hAnsi="Times New Roman" w:cs="Times New Roman"/>
          <w:sz w:val="24"/>
          <w:szCs w:val="24"/>
        </w:rPr>
      </w:pPr>
      <w:r w:rsidRPr="0048217A">
        <w:rPr>
          <w:rFonts w:ascii="Times New Roman" w:hAnsi="Times New Roman" w:cs="Times New Roman"/>
          <w:b/>
          <w:bCs/>
          <w:sz w:val="24"/>
          <w:szCs w:val="24"/>
        </w:rPr>
        <w:t>Pirkimo objekto apibrėžimas:</w:t>
      </w:r>
      <w:r w:rsidRPr="0048217A">
        <w:rPr>
          <w:rFonts w:ascii="Times New Roman" w:hAnsi="Times New Roman" w:cs="Times New Roman"/>
          <w:sz w:val="24"/>
          <w:szCs w:val="24"/>
        </w:rPr>
        <w:br/>
        <w:t>Šio pirkimo objektas yra viena kompleksinė paslauga, apimanti inovacijų konsultacines ir paramos paslaugas, įskaitant rinkos analizės parengimą ir eksperimentinių tyrimų atlikimą.</w:t>
      </w:r>
      <w:r w:rsidRPr="0048217A">
        <w:rPr>
          <w:rFonts w:ascii="Times New Roman" w:hAnsi="Times New Roman" w:cs="Times New Roman"/>
          <w:sz w:val="24"/>
          <w:szCs w:val="24"/>
        </w:rPr>
        <w:br/>
        <w:t xml:space="preserve">Paslaugos rezultatas – vienas galutinis dokumentas (analizė), kuriame integruojami visi šioje techninėje specifikacijoje numatyti rezultatai. </w:t>
      </w:r>
    </w:p>
    <w:p w14:paraId="71095337" w14:textId="77777777" w:rsidR="0048217A" w:rsidRPr="0048217A" w:rsidRDefault="0048217A" w:rsidP="00892C87">
      <w:pPr>
        <w:numPr>
          <w:ilvl w:val="0"/>
          <w:numId w:val="6"/>
        </w:numPr>
        <w:tabs>
          <w:tab w:val="left" w:pos="993"/>
        </w:tabs>
        <w:spacing w:before="100" w:beforeAutospacing="1" w:after="100" w:afterAutospacing="1" w:line="240" w:lineRule="auto"/>
        <w:contextualSpacing/>
        <w:rPr>
          <w:rFonts w:ascii="Times New Roman" w:hAnsi="Times New Roman" w:cs="Times New Roman"/>
          <w:sz w:val="24"/>
          <w:szCs w:val="24"/>
        </w:rPr>
      </w:pPr>
      <w:r w:rsidRPr="0048217A">
        <w:rPr>
          <w:rFonts w:ascii="Times New Roman" w:hAnsi="Times New Roman" w:cs="Times New Roman"/>
          <w:b/>
          <w:bCs/>
          <w:sz w:val="24"/>
          <w:szCs w:val="24"/>
        </w:rPr>
        <w:t>Paslaugos tikslas:</w:t>
      </w:r>
      <w:r w:rsidRPr="0048217A">
        <w:rPr>
          <w:rFonts w:ascii="Times New Roman" w:hAnsi="Times New Roman" w:cs="Times New Roman"/>
          <w:sz w:val="24"/>
          <w:szCs w:val="24"/>
        </w:rPr>
        <w:br/>
        <w:t xml:space="preserve">Parengti vandenilio įmaišymo į degalus technologijos techninių, aplinkosauginių, ekonominių ir rinkos aspektų vertinimą, nustatant technologijos pritaikomumą skirtinguose transporto sektoriaus segmentuose, įvertinant konkuruojančias technologijas, galimas tikslines rinkas, technologijos diegimo scenarijus bei pardavimų potencialą, siekiant nustatyti šios technologijos komercinio pritaikymo perspektyvas. </w:t>
      </w:r>
    </w:p>
    <w:p w14:paraId="0DCA4ABD" w14:textId="6EF67C9E" w:rsidR="0048217A" w:rsidRPr="0048217A" w:rsidRDefault="0048217A" w:rsidP="00892C87">
      <w:pPr>
        <w:numPr>
          <w:ilvl w:val="0"/>
          <w:numId w:val="6"/>
        </w:numPr>
        <w:tabs>
          <w:tab w:val="left" w:pos="993"/>
        </w:tabs>
        <w:spacing w:before="100" w:beforeAutospacing="1" w:after="100" w:afterAutospacing="1" w:line="240" w:lineRule="auto"/>
        <w:contextualSpacing/>
        <w:rPr>
          <w:rFonts w:ascii="Times New Roman" w:hAnsi="Times New Roman" w:cs="Times New Roman"/>
          <w:sz w:val="24"/>
          <w:szCs w:val="24"/>
        </w:rPr>
      </w:pPr>
      <w:r w:rsidRPr="0048217A">
        <w:rPr>
          <w:rFonts w:ascii="Times New Roman" w:hAnsi="Times New Roman" w:cs="Times New Roman"/>
          <w:b/>
          <w:bCs/>
          <w:sz w:val="24"/>
          <w:szCs w:val="24"/>
        </w:rPr>
        <w:t>Analizės geografinė apimtis:</w:t>
      </w:r>
      <w:r w:rsidRPr="0048217A">
        <w:rPr>
          <w:rFonts w:ascii="Times New Roman" w:hAnsi="Times New Roman" w:cs="Times New Roman"/>
          <w:sz w:val="24"/>
          <w:szCs w:val="24"/>
        </w:rPr>
        <w:br/>
      </w:r>
      <w:r w:rsidR="007660AA" w:rsidRPr="007660AA">
        <w:rPr>
          <w:rFonts w:ascii="Times New Roman" w:hAnsi="Times New Roman" w:cs="Times New Roman"/>
          <w:sz w:val="24"/>
          <w:szCs w:val="24"/>
        </w:rPr>
        <w:t>Analizė atliekama Lietuvos, Baltijos šalių ir Europos, Šiaurės Amerikos mastu, įskaitant ir kitas šalis kur analogiški ar technologiškai artimi sprendimai yra taikomi transporto sektoriuje”</w:t>
      </w:r>
      <w:r w:rsidRPr="0048217A">
        <w:rPr>
          <w:rFonts w:ascii="Times New Roman" w:hAnsi="Times New Roman" w:cs="Times New Roman"/>
          <w:sz w:val="24"/>
          <w:szCs w:val="24"/>
        </w:rPr>
        <w:t>.</w:t>
      </w:r>
      <w:r w:rsidRPr="0048217A">
        <w:rPr>
          <w:rFonts w:ascii="Times New Roman" w:hAnsi="Times New Roman" w:cs="Times New Roman"/>
          <w:sz w:val="24"/>
          <w:szCs w:val="24"/>
        </w:rPr>
        <w:br/>
        <w:t xml:space="preserve">Tiekėjas gali naudoti viešai prieinamus antrinius duomenis, mokslinę literatūrą ir kitus patikimus informacijos šaltinius, aiškiai nurodydamas jų kilmę. </w:t>
      </w:r>
    </w:p>
    <w:p w14:paraId="37658BF9" w14:textId="77777777" w:rsidR="003748F5" w:rsidRPr="00976C6F" w:rsidRDefault="003748F5" w:rsidP="00551A64">
      <w:pPr>
        <w:tabs>
          <w:tab w:val="left" w:pos="993"/>
        </w:tabs>
        <w:spacing w:before="100" w:beforeAutospacing="1" w:after="100" w:afterAutospacing="1" w:line="240" w:lineRule="auto"/>
        <w:ind w:firstLine="567"/>
        <w:contextualSpacing/>
        <w:jc w:val="both"/>
        <w:rPr>
          <w:rFonts w:ascii="Times New Roman" w:hAnsi="Times New Roman" w:cs="Times New Roman"/>
          <w:sz w:val="24"/>
          <w:szCs w:val="24"/>
        </w:rPr>
      </w:pPr>
    </w:p>
    <w:p w14:paraId="6FF64108" w14:textId="77777777" w:rsidR="00426303" w:rsidRPr="00892C87" w:rsidRDefault="00426303" w:rsidP="00892C87">
      <w:pPr>
        <w:jc w:val="center"/>
        <w:rPr>
          <w:rFonts w:ascii="Times New Roman" w:hAnsi="Times New Roman" w:cs="Times New Roman"/>
          <w:b/>
          <w:bCs/>
          <w:sz w:val="24"/>
          <w:szCs w:val="24"/>
        </w:rPr>
      </w:pPr>
      <w:r w:rsidRPr="00892C87">
        <w:rPr>
          <w:rFonts w:ascii="Times New Roman" w:hAnsi="Times New Roman" w:cs="Times New Roman"/>
          <w:b/>
          <w:bCs/>
          <w:sz w:val="24"/>
          <w:szCs w:val="24"/>
        </w:rPr>
        <w:t>II. RINKOS ANALIZĖS STRUKTŪRA IR TURINYS</w:t>
      </w:r>
    </w:p>
    <w:p w14:paraId="5529D175" w14:textId="1A880180" w:rsidR="00426303" w:rsidRPr="00892C87" w:rsidRDefault="00426303" w:rsidP="00892C87">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Galutinė analizė turi būti nuosekliai struktūruota pagal žemiau nurodytus skyrius. Kiekvienas skyrius turi būti pateiktas taip, kad būtų galima objektyviai įvertinti technologijos techninį, aplinkosauginį, ekonominį ir komercinį pagrįstumą.</w:t>
      </w:r>
    </w:p>
    <w:p w14:paraId="2427F0C3" w14:textId="2F730B5B" w:rsidR="00426303" w:rsidRPr="00892C87" w:rsidRDefault="00426303" w:rsidP="00892C87">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Analizės struktūra:</w:t>
      </w:r>
    </w:p>
    <w:p w14:paraId="2B4C39B0" w14:textId="77777777"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9.1. Turinys</w:t>
      </w:r>
    </w:p>
    <w:p w14:paraId="16BFBA9D" w14:textId="587F0882"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9.2. Santrauka – pateikiami tikslai, metodika, pagrindiniai rezultatai, išvados ir rekomendacijos.</w:t>
      </w:r>
    </w:p>
    <w:p w14:paraId="09C5CC7A" w14:textId="3235D0E1"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9.3. Įvadas ir analizės logika – nagrinėjamos technologijos ribos, vandenilio kiekio scenarijai (pvz., 5–20 %), transporto segmentai ir analizės prielaidos.</w:t>
      </w:r>
    </w:p>
    <w:p w14:paraId="771ED8B3" w14:textId="7ED72AFC"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9.4. Technologijos aprašymas – aprašomi technologiniai sprendimai, komponentai, veikimo principai ir poveikis variklio darbui.</w:t>
      </w:r>
    </w:p>
    <w:p w14:paraId="5635CC1D" w14:textId="3AEE12A4"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lastRenderedPageBreak/>
        <w:t>9.5. Techninis įgyvendinamumas – vertinamas pritaikomumas, patikimumas, sauga, integravimo galimybės ir technologijos brandos lygis.</w:t>
      </w:r>
    </w:p>
    <w:p w14:paraId="1B76F557" w14:textId="7BBF76FB"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9.6. Aplinkosauginis įgyvendinamumas (LCA) – vertinamas poveikis aplinkai, emisijos ir CO₂ mažinimo potencialas.</w:t>
      </w:r>
    </w:p>
    <w:p w14:paraId="75E124BA" w14:textId="3B564246"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9.7. Ekonominis įgyvendinamumas (TEA) – vertinamos sąnaudos, atsipirkimas, jautrumo analizė.</w:t>
      </w:r>
    </w:p>
    <w:p w14:paraId="2909E09D" w14:textId="4B7CC999"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9.8. Rinkos analizė ir komercinis potencialas – vertinamos rinkos, klientų segmentai, konkurencija ir verslo modeliai.</w:t>
      </w:r>
    </w:p>
    <w:p w14:paraId="7D2B6C8F" w14:textId="6FB9B693"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9.9. Teisinis reglamentavimas ir sauga – analizuojami teisės aktai ir taikomi reikalavimai.</w:t>
      </w:r>
    </w:p>
    <w:p w14:paraId="79B44ED4" w14:textId="41EF16CE"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9.10. Mokslinių tyrimų ir plėtros poreikis – nustatomos technologinės spragos ir tobulinimo kryptys.</w:t>
      </w:r>
    </w:p>
    <w:p w14:paraId="7EBDD981" w14:textId="455B652B" w:rsidR="00426303" w:rsidRPr="00426303" w:rsidRDefault="00426303" w:rsidP="00426303">
      <w:pPr>
        <w:rPr>
          <w:rFonts w:ascii="Times New Roman" w:hAnsi="Times New Roman" w:cs="Times New Roman"/>
          <w:sz w:val="24"/>
          <w:szCs w:val="24"/>
        </w:rPr>
      </w:pPr>
      <w:r w:rsidRPr="00426303">
        <w:rPr>
          <w:rFonts w:ascii="Times New Roman" w:hAnsi="Times New Roman" w:cs="Times New Roman"/>
          <w:sz w:val="24"/>
          <w:szCs w:val="24"/>
        </w:rPr>
        <w:t>9.11. Išvados ir rekomendacijos – apibendrinami rezultatai ir pateikiamos tolimesnio vystymo kryptys.</w:t>
      </w:r>
    </w:p>
    <w:p w14:paraId="544E141C" w14:textId="77777777" w:rsidR="00426303" w:rsidRPr="00892C87" w:rsidRDefault="00426303" w:rsidP="00892C87">
      <w:pPr>
        <w:jc w:val="center"/>
        <w:rPr>
          <w:rFonts w:ascii="Times New Roman" w:hAnsi="Times New Roman" w:cs="Times New Roman"/>
          <w:b/>
          <w:bCs/>
          <w:sz w:val="24"/>
          <w:szCs w:val="24"/>
        </w:rPr>
      </w:pPr>
      <w:r w:rsidRPr="00892C87">
        <w:rPr>
          <w:rFonts w:ascii="Times New Roman" w:hAnsi="Times New Roman" w:cs="Times New Roman"/>
          <w:b/>
          <w:bCs/>
          <w:sz w:val="24"/>
          <w:szCs w:val="24"/>
        </w:rPr>
        <w:t>III. EKSPERIMENTINIAI TYRIMAI</w:t>
      </w:r>
    </w:p>
    <w:p w14:paraId="526665E4" w14:textId="53DC4633" w:rsidR="00426303" w:rsidRPr="00892C87" w:rsidRDefault="00426303" w:rsidP="00892C87">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Paslaugų teikėjas privalo atlikti eksperimentinius tyrimus, kurių metu tiriami Perkančiosios organizacijos pateikti medžiagų bandiniai (iki 10 vnt.).</w:t>
      </w:r>
    </w:p>
    <w:p w14:paraId="3D5FAF00" w14:textId="0F6E64CD" w:rsidR="00426303" w:rsidRPr="00892C87" w:rsidRDefault="00426303" w:rsidP="00892C87">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Tyrimų metu turi būti vertinama medžiagų sąveika su vandeniliu, įskaitant struktūrinius, cheminius ir paviršiaus pokyčius.</w:t>
      </w:r>
    </w:p>
    <w:p w14:paraId="1AC95E4E" w14:textId="732EF560" w:rsidR="00426303" w:rsidRPr="00892C87" w:rsidRDefault="00426303" w:rsidP="00892C87">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Tyrimuose turi būti naudojami šie metodai arba lygiaverčiai metodai, užtikrinantys analogišką rezultatų tikslumą ir patikimumą:</w:t>
      </w:r>
    </w:p>
    <w:p w14:paraId="2FF3F385" w14:textId="77777777" w:rsidR="00DF7481" w:rsidRDefault="00426303" w:rsidP="00426303">
      <w:pPr>
        <w:pStyle w:val="ListParagraph"/>
        <w:numPr>
          <w:ilvl w:val="0"/>
          <w:numId w:val="7"/>
        </w:numPr>
        <w:rPr>
          <w:rFonts w:ascii="Times New Roman" w:hAnsi="Times New Roman" w:cs="Times New Roman"/>
          <w:sz w:val="24"/>
          <w:szCs w:val="24"/>
        </w:rPr>
      </w:pPr>
      <w:r w:rsidRPr="00892C87">
        <w:rPr>
          <w:rFonts w:ascii="Times New Roman" w:hAnsi="Times New Roman" w:cs="Times New Roman"/>
          <w:sz w:val="24"/>
          <w:szCs w:val="24"/>
        </w:rPr>
        <w:t>skenuojančioji elektroninė mikroskopija (SEM);</w:t>
      </w:r>
    </w:p>
    <w:p w14:paraId="2B0CD784" w14:textId="77777777" w:rsidR="00DF7481" w:rsidRDefault="00426303" w:rsidP="00426303">
      <w:pPr>
        <w:pStyle w:val="ListParagraph"/>
        <w:numPr>
          <w:ilvl w:val="0"/>
          <w:numId w:val="7"/>
        </w:numPr>
        <w:rPr>
          <w:rFonts w:ascii="Times New Roman" w:hAnsi="Times New Roman" w:cs="Times New Roman"/>
          <w:sz w:val="24"/>
          <w:szCs w:val="24"/>
        </w:rPr>
      </w:pPr>
      <w:r w:rsidRPr="00892C87">
        <w:rPr>
          <w:rFonts w:ascii="Times New Roman" w:hAnsi="Times New Roman" w:cs="Times New Roman"/>
          <w:sz w:val="24"/>
          <w:szCs w:val="24"/>
        </w:rPr>
        <w:t>energijos dispersinė rentgeno spektroskopija (EDS);</w:t>
      </w:r>
    </w:p>
    <w:p w14:paraId="26C54E84" w14:textId="77777777" w:rsidR="00DF7481" w:rsidRDefault="00426303" w:rsidP="00426303">
      <w:pPr>
        <w:pStyle w:val="ListParagraph"/>
        <w:numPr>
          <w:ilvl w:val="0"/>
          <w:numId w:val="7"/>
        </w:numPr>
        <w:rPr>
          <w:rFonts w:ascii="Times New Roman" w:hAnsi="Times New Roman" w:cs="Times New Roman"/>
          <w:sz w:val="24"/>
          <w:szCs w:val="24"/>
        </w:rPr>
      </w:pPr>
      <w:r w:rsidRPr="00892C87">
        <w:rPr>
          <w:rFonts w:ascii="Times New Roman" w:hAnsi="Times New Roman" w:cs="Times New Roman"/>
          <w:sz w:val="24"/>
          <w:szCs w:val="24"/>
        </w:rPr>
        <w:t>rentgeno spindulių difrakcijos analizė (XRD);</w:t>
      </w:r>
    </w:p>
    <w:p w14:paraId="64E7BF5D" w14:textId="77777777" w:rsidR="00F92740" w:rsidRDefault="00426303" w:rsidP="00426303">
      <w:pPr>
        <w:pStyle w:val="ListParagraph"/>
        <w:numPr>
          <w:ilvl w:val="0"/>
          <w:numId w:val="7"/>
        </w:numPr>
        <w:rPr>
          <w:rFonts w:ascii="Times New Roman" w:hAnsi="Times New Roman" w:cs="Times New Roman"/>
          <w:sz w:val="24"/>
          <w:szCs w:val="24"/>
        </w:rPr>
      </w:pPr>
      <w:proofErr w:type="spellStart"/>
      <w:r w:rsidRPr="00892C87">
        <w:rPr>
          <w:rFonts w:ascii="Times New Roman" w:hAnsi="Times New Roman" w:cs="Times New Roman"/>
          <w:sz w:val="24"/>
          <w:szCs w:val="24"/>
        </w:rPr>
        <w:t>profilometrija</w:t>
      </w:r>
      <w:proofErr w:type="spellEnd"/>
      <w:r w:rsidRPr="00892C87">
        <w:rPr>
          <w:rFonts w:ascii="Times New Roman" w:hAnsi="Times New Roman" w:cs="Times New Roman"/>
          <w:sz w:val="24"/>
          <w:szCs w:val="24"/>
        </w:rPr>
        <w:t>.</w:t>
      </w:r>
    </w:p>
    <w:p w14:paraId="6A7606CB" w14:textId="77777777" w:rsidR="00F92740" w:rsidRDefault="00426303" w:rsidP="00426303">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Tyrimų rezultatai turi būti aiškiai pateikti, analizuojami ir integruojami į bendrą analizės dokumentą, nurodant jų reikšmę technologijos vertinimui.</w:t>
      </w:r>
    </w:p>
    <w:p w14:paraId="0BE6D249" w14:textId="4A5CF028" w:rsidR="00426303" w:rsidRPr="00892C87" w:rsidRDefault="00426303" w:rsidP="00892C87">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Paslaugų teikėjas pats surenka visą reikalingą informaciją tyrimams ir analizei atlikti, išskyrus informaciją, kurią gali pateikti Perkančioji organizacija.</w:t>
      </w:r>
    </w:p>
    <w:p w14:paraId="311DE142" w14:textId="77777777" w:rsidR="00426303" w:rsidRPr="00892C87" w:rsidRDefault="00426303" w:rsidP="00892C87">
      <w:pPr>
        <w:jc w:val="center"/>
        <w:rPr>
          <w:rFonts w:ascii="Times New Roman" w:hAnsi="Times New Roman" w:cs="Times New Roman"/>
          <w:b/>
          <w:bCs/>
          <w:sz w:val="24"/>
          <w:szCs w:val="24"/>
        </w:rPr>
      </w:pPr>
      <w:r w:rsidRPr="00892C87">
        <w:rPr>
          <w:rFonts w:ascii="Times New Roman" w:hAnsi="Times New Roman" w:cs="Times New Roman"/>
          <w:b/>
          <w:bCs/>
          <w:sz w:val="24"/>
          <w:szCs w:val="24"/>
        </w:rPr>
        <w:t>IV. PASLAUGŲ TEIKIMO TERMINAI IR TVARKA</w:t>
      </w:r>
    </w:p>
    <w:p w14:paraId="71738A10" w14:textId="77777777" w:rsidR="00F92740" w:rsidRDefault="00426303" w:rsidP="00426303">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Rinkos analizė ir visi priedai turi būti parengti ne vėliau kaip per 30 kalendorinių dienų nuo sutarties įsigaliojimo dienos.</w:t>
      </w:r>
    </w:p>
    <w:p w14:paraId="1FAAB1D7" w14:textId="77777777" w:rsidR="00F92740" w:rsidRDefault="00426303" w:rsidP="00426303">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Perkančioji organizacija per 10 darbo dienų nuo analizės gavimo pateikia pastabas arba patvirtina analizę.</w:t>
      </w:r>
    </w:p>
    <w:p w14:paraId="7A60CBF3" w14:textId="77777777" w:rsidR="00F92740" w:rsidRDefault="00426303" w:rsidP="00426303">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Paslaugų teikėjas per 3 darbo dienas nuo pastabų gavimo dienos privalo patikslinti analizę ir pateikti galutinę jos versiją.</w:t>
      </w:r>
    </w:p>
    <w:p w14:paraId="7DBCE73C" w14:textId="77777777" w:rsidR="000D2EEC" w:rsidRDefault="00426303" w:rsidP="00426303">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Paslaugų teikėjas, esant Perkančiosios organizacijos prašymui, privalo pristatyti analizę.</w:t>
      </w:r>
    </w:p>
    <w:p w14:paraId="3F421FFC" w14:textId="2686000E" w:rsidR="00426303" w:rsidRPr="00892C87" w:rsidRDefault="00426303" w:rsidP="00892C87">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t>Paslauga laikoma tinkamai suteikta, kai:</w:t>
      </w:r>
    </w:p>
    <w:p w14:paraId="25C49722" w14:textId="77777777" w:rsidR="000D2EEC" w:rsidRDefault="00426303" w:rsidP="00426303">
      <w:pPr>
        <w:pStyle w:val="ListParagraph"/>
        <w:numPr>
          <w:ilvl w:val="0"/>
          <w:numId w:val="8"/>
        </w:numPr>
        <w:rPr>
          <w:rFonts w:ascii="Times New Roman" w:hAnsi="Times New Roman" w:cs="Times New Roman"/>
          <w:sz w:val="24"/>
          <w:szCs w:val="24"/>
        </w:rPr>
      </w:pPr>
      <w:r w:rsidRPr="00892C87">
        <w:rPr>
          <w:rFonts w:ascii="Times New Roman" w:hAnsi="Times New Roman" w:cs="Times New Roman"/>
          <w:sz w:val="24"/>
          <w:szCs w:val="24"/>
        </w:rPr>
        <w:t>pateikta galutinė analizė;</w:t>
      </w:r>
    </w:p>
    <w:p w14:paraId="37132EA8" w14:textId="77777777" w:rsidR="000D2EEC" w:rsidRDefault="00426303" w:rsidP="00426303">
      <w:pPr>
        <w:pStyle w:val="ListParagraph"/>
        <w:numPr>
          <w:ilvl w:val="0"/>
          <w:numId w:val="8"/>
        </w:numPr>
        <w:rPr>
          <w:rFonts w:ascii="Times New Roman" w:hAnsi="Times New Roman" w:cs="Times New Roman"/>
          <w:sz w:val="24"/>
          <w:szCs w:val="24"/>
        </w:rPr>
      </w:pPr>
      <w:r w:rsidRPr="00892C87">
        <w:rPr>
          <w:rFonts w:ascii="Times New Roman" w:hAnsi="Times New Roman" w:cs="Times New Roman"/>
          <w:sz w:val="24"/>
          <w:szCs w:val="24"/>
        </w:rPr>
        <w:t>analizė atitinka šios techninės specifikacijos reikalavimus;</w:t>
      </w:r>
    </w:p>
    <w:p w14:paraId="35A7D09D" w14:textId="77777777" w:rsidR="000D2EEC" w:rsidRDefault="00426303" w:rsidP="00426303">
      <w:pPr>
        <w:pStyle w:val="ListParagraph"/>
        <w:numPr>
          <w:ilvl w:val="0"/>
          <w:numId w:val="8"/>
        </w:numPr>
        <w:rPr>
          <w:rFonts w:ascii="Times New Roman" w:hAnsi="Times New Roman" w:cs="Times New Roman"/>
          <w:sz w:val="24"/>
          <w:szCs w:val="24"/>
        </w:rPr>
      </w:pPr>
      <w:r w:rsidRPr="00892C87">
        <w:rPr>
          <w:rFonts w:ascii="Times New Roman" w:hAnsi="Times New Roman" w:cs="Times New Roman"/>
          <w:sz w:val="24"/>
          <w:szCs w:val="24"/>
        </w:rPr>
        <w:t>atsižvelgta į Perkančiosios organizacijos pastabas (jei tokių buvo);</w:t>
      </w:r>
    </w:p>
    <w:p w14:paraId="1F4A295F" w14:textId="34442763" w:rsidR="00426303" w:rsidRPr="00892C87" w:rsidRDefault="00426303" w:rsidP="00892C87">
      <w:pPr>
        <w:pStyle w:val="ListParagraph"/>
        <w:numPr>
          <w:ilvl w:val="0"/>
          <w:numId w:val="8"/>
        </w:numPr>
        <w:rPr>
          <w:rFonts w:ascii="Times New Roman" w:hAnsi="Times New Roman" w:cs="Times New Roman"/>
          <w:sz w:val="24"/>
          <w:szCs w:val="24"/>
        </w:rPr>
      </w:pPr>
      <w:r w:rsidRPr="00892C87">
        <w:rPr>
          <w:rFonts w:ascii="Times New Roman" w:hAnsi="Times New Roman" w:cs="Times New Roman"/>
          <w:sz w:val="24"/>
          <w:szCs w:val="24"/>
        </w:rPr>
        <w:t>pasirašytas paslaugų priėmimo–perdavimo aktas.</w:t>
      </w:r>
    </w:p>
    <w:p w14:paraId="7B21DA61" w14:textId="77777777" w:rsidR="00426303" w:rsidRPr="00892C87" w:rsidRDefault="00426303" w:rsidP="00892C87">
      <w:pPr>
        <w:jc w:val="center"/>
        <w:rPr>
          <w:rFonts w:ascii="Times New Roman" w:hAnsi="Times New Roman" w:cs="Times New Roman"/>
          <w:b/>
          <w:bCs/>
          <w:sz w:val="24"/>
          <w:szCs w:val="24"/>
        </w:rPr>
      </w:pPr>
      <w:r w:rsidRPr="00892C87">
        <w:rPr>
          <w:rFonts w:ascii="Times New Roman" w:hAnsi="Times New Roman" w:cs="Times New Roman"/>
          <w:b/>
          <w:bCs/>
          <w:sz w:val="24"/>
          <w:szCs w:val="24"/>
        </w:rPr>
        <w:t>V. ŽALIASIS PIRKIMAS</w:t>
      </w:r>
    </w:p>
    <w:p w14:paraId="2A604BBD" w14:textId="065C7475" w:rsidR="003B2DC8" w:rsidRPr="00976C6F" w:rsidRDefault="00892C87" w:rsidP="00892C87">
      <w:pPr>
        <w:pStyle w:val="ListParagraph"/>
        <w:numPr>
          <w:ilvl w:val="0"/>
          <w:numId w:val="6"/>
        </w:numPr>
        <w:rPr>
          <w:rFonts w:ascii="Times New Roman" w:hAnsi="Times New Roman" w:cs="Times New Roman"/>
          <w:sz w:val="24"/>
          <w:szCs w:val="24"/>
        </w:rPr>
      </w:pPr>
      <w:r w:rsidRPr="00892C87">
        <w:rPr>
          <w:rFonts w:ascii="Times New Roman" w:hAnsi="Times New Roman" w:cs="Times New Roman"/>
          <w:sz w:val="24"/>
          <w:szCs w:val="24"/>
        </w:rPr>
        <w:lastRenderedPageBreak/>
        <w:t>Vadovaujantis Lietuvos Respublikos aplinkos ministro 2011 m. birželio 28 d. įsakymu Nr. D1- 508 patvirtinto „Dėl aplinkos apsaugos kriterijų taikymo, vykdant žaliuosius pirkimus, tvarkos aprašo patvirtinimo“ tvarkos aprašo 4.4.3. punktu, pirkimas laikomas „žaliuoju“, nes „perkama tik nematerialaus pobūdžio (intelektinė) ar kitokia paslauga, nesusijusi su materialaus objekto sukūrimu, kurios teikimo metu nėra numatomas reikšmingas neigiamas poveikis aplinkai, nesukuriamas taršos šaltinis ir negeneruojamos atliekos</w:t>
      </w:r>
      <w:r w:rsidR="00426303" w:rsidRPr="00426303">
        <w:rPr>
          <w:rFonts w:ascii="Times New Roman" w:hAnsi="Times New Roman" w:cs="Times New Roman"/>
          <w:sz w:val="24"/>
          <w:szCs w:val="24"/>
        </w:rPr>
        <w:t>.</w:t>
      </w:r>
    </w:p>
    <w:sectPr w:rsidR="003B2DC8" w:rsidRPr="00976C6F" w:rsidSect="00976C6F">
      <w:headerReference w:type="default" r:id="rId7"/>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6168E" w14:textId="77777777" w:rsidR="00A85E4D" w:rsidRDefault="00A85E4D" w:rsidP="00F93644">
      <w:pPr>
        <w:spacing w:after="0" w:line="240" w:lineRule="auto"/>
      </w:pPr>
      <w:r>
        <w:separator/>
      </w:r>
    </w:p>
  </w:endnote>
  <w:endnote w:type="continuationSeparator" w:id="0">
    <w:p w14:paraId="7F23569C" w14:textId="77777777" w:rsidR="00A85E4D" w:rsidRDefault="00A85E4D" w:rsidP="00F93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F3ADC" w14:textId="77777777" w:rsidR="00A85E4D" w:rsidRDefault="00A85E4D" w:rsidP="00F93644">
      <w:pPr>
        <w:spacing w:after="0" w:line="240" w:lineRule="auto"/>
      </w:pPr>
      <w:r>
        <w:separator/>
      </w:r>
    </w:p>
  </w:footnote>
  <w:footnote w:type="continuationSeparator" w:id="0">
    <w:p w14:paraId="52652008" w14:textId="77777777" w:rsidR="00A85E4D" w:rsidRDefault="00A85E4D" w:rsidP="00F93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2555" w14:textId="77777777" w:rsidR="00F93644" w:rsidRDefault="00F93644" w:rsidP="00F93644">
    <w:pPr>
      <w:spacing w:after="0" w:line="300" w:lineRule="auto"/>
      <w:jc w:val="right"/>
      <w:rPr>
        <w:noProof/>
      </w:rPr>
    </w:pPr>
    <w:r w:rsidRPr="00242442">
      <w:rPr>
        <w:noProof/>
      </w:rPr>
      <w:t>Pirkimo sąlygų 3 priedas „Techninė specifikacija“</w:t>
    </w:r>
  </w:p>
  <w:p w14:paraId="4298DB85" w14:textId="77777777" w:rsidR="00F93644" w:rsidRDefault="00F93644" w:rsidP="00F9364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B93"/>
    <w:multiLevelType w:val="multilevel"/>
    <w:tmpl w:val="60981DB2"/>
    <w:lvl w:ilvl="0">
      <w:start w:val="1"/>
      <w:numFmt w:val="decimal"/>
      <w:lvlText w:val="%1."/>
      <w:lvlJc w:val="left"/>
      <w:pPr>
        <w:ind w:left="1236" w:hanging="810"/>
      </w:pPr>
    </w:lvl>
    <w:lvl w:ilvl="1">
      <w:start w:val="1"/>
      <w:numFmt w:val="decimal"/>
      <w:lvlText w:val="%1.%2."/>
      <w:lvlJc w:val="left"/>
      <w:pPr>
        <w:ind w:left="1620" w:hanging="360"/>
      </w:pPr>
    </w:lvl>
    <w:lvl w:ilvl="2">
      <w:start w:val="1"/>
      <w:numFmt w:val="decimal"/>
      <w:lvlText w:val="%1.%2.%3."/>
      <w:lvlJc w:val="left"/>
      <w:pPr>
        <w:ind w:left="2520" w:hanging="36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1" w15:restartNumberingAfterBreak="0">
    <w:nsid w:val="086A713D"/>
    <w:multiLevelType w:val="multilevel"/>
    <w:tmpl w:val="1494D892"/>
    <w:lvl w:ilvl="0">
      <w:start w:val="1"/>
      <w:numFmt w:val="decimal"/>
      <w:lvlText w:val="%1."/>
      <w:lvlJc w:val="left"/>
      <w:pPr>
        <w:ind w:left="1057" w:hanging="360"/>
      </w:pPr>
      <w:rPr>
        <w:rFonts w:hint="default"/>
      </w:rPr>
    </w:lvl>
    <w:lvl w:ilvl="1">
      <w:start w:val="1"/>
      <w:numFmt w:val="decimal"/>
      <w:isLgl/>
      <w:lvlText w:val="%1.%2."/>
      <w:lvlJc w:val="left"/>
      <w:pPr>
        <w:ind w:left="1789" w:hanging="372"/>
      </w:pPr>
      <w:rPr>
        <w:rFonts w:hint="default"/>
      </w:rPr>
    </w:lvl>
    <w:lvl w:ilvl="2">
      <w:start w:val="1"/>
      <w:numFmt w:val="decimal"/>
      <w:isLgl/>
      <w:lvlText w:val="%1.%2.%3."/>
      <w:lvlJc w:val="left"/>
      <w:pPr>
        <w:ind w:left="2857" w:hanging="720"/>
      </w:pPr>
      <w:rPr>
        <w:rFonts w:hint="default"/>
      </w:rPr>
    </w:lvl>
    <w:lvl w:ilvl="3">
      <w:start w:val="1"/>
      <w:numFmt w:val="decimal"/>
      <w:isLgl/>
      <w:lvlText w:val="%1.%2.%3.%4."/>
      <w:lvlJc w:val="left"/>
      <w:pPr>
        <w:ind w:left="3577" w:hanging="720"/>
      </w:pPr>
      <w:rPr>
        <w:rFonts w:hint="default"/>
      </w:rPr>
    </w:lvl>
    <w:lvl w:ilvl="4">
      <w:start w:val="1"/>
      <w:numFmt w:val="decimal"/>
      <w:isLgl/>
      <w:lvlText w:val="%1.%2.%3.%4.%5."/>
      <w:lvlJc w:val="left"/>
      <w:pPr>
        <w:ind w:left="4657" w:hanging="1080"/>
      </w:pPr>
      <w:rPr>
        <w:rFonts w:hint="default"/>
      </w:rPr>
    </w:lvl>
    <w:lvl w:ilvl="5">
      <w:start w:val="1"/>
      <w:numFmt w:val="decimal"/>
      <w:isLgl/>
      <w:lvlText w:val="%1.%2.%3.%4.%5.%6."/>
      <w:lvlJc w:val="left"/>
      <w:pPr>
        <w:ind w:left="5377" w:hanging="1080"/>
      </w:pPr>
      <w:rPr>
        <w:rFonts w:hint="default"/>
      </w:rPr>
    </w:lvl>
    <w:lvl w:ilvl="6">
      <w:start w:val="1"/>
      <w:numFmt w:val="decimal"/>
      <w:isLgl/>
      <w:lvlText w:val="%1.%2.%3.%4.%5.%6.%7."/>
      <w:lvlJc w:val="left"/>
      <w:pPr>
        <w:ind w:left="6457" w:hanging="1440"/>
      </w:pPr>
      <w:rPr>
        <w:rFonts w:hint="default"/>
      </w:rPr>
    </w:lvl>
    <w:lvl w:ilvl="7">
      <w:start w:val="1"/>
      <w:numFmt w:val="decimal"/>
      <w:isLgl/>
      <w:lvlText w:val="%1.%2.%3.%4.%5.%6.%7.%8."/>
      <w:lvlJc w:val="left"/>
      <w:pPr>
        <w:ind w:left="7177" w:hanging="1440"/>
      </w:pPr>
      <w:rPr>
        <w:rFonts w:hint="default"/>
      </w:rPr>
    </w:lvl>
    <w:lvl w:ilvl="8">
      <w:start w:val="1"/>
      <w:numFmt w:val="decimal"/>
      <w:isLgl/>
      <w:lvlText w:val="%1.%2.%3.%4.%5.%6.%7.%8.%9."/>
      <w:lvlJc w:val="left"/>
      <w:pPr>
        <w:ind w:left="7897" w:hanging="1440"/>
      </w:pPr>
      <w:rPr>
        <w:rFonts w:hint="default"/>
      </w:rPr>
    </w:lvl>
  </w:abstractNum>
  <w:abstractNum w:abstractNumId="2" w15:restartNumberingAfterBreak="0">
    <w:nsid w:val="17721438"/>
    <w:multiLevelType w:val="multilevel"/>
    <w:tmpl w:val="B81A4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369A7"/>
    <w:multiLevelType w:val="hybridMultilevel"/>
    <w:tmpl w:val="01208A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A0144"/>
    <w:multiLevelType w:val="multilevel"/>
    <w:tmpl w:val="804E9C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F533856"/>
    <w:multiLevelType w:val="multilevel"/>
    <w:tmpl w:val="0BECA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D26D84"/>
    <w:multiLevelType w:val="multilevel"/>
    <w:tmpl w:val="41C4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46B3C"/>
    <w:multiLevelType w:val="hybridMultilevel"/>
    <w:tmpl w:val="63E607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E76C60"/>
    <w:multiLevelType w:val="multilevel"/>
    <w:tmpl w:val="ED32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295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7932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0113148">
    <w:abstractNumId w:val="8"/>
  </w:num>
  <w:num w:numId="4" w16cid:durableId="1763142605">
    <w:abstractNumId w:val="2"/>
  </w:num>
  <w:num w:numId="5" w16cid:durableId="2140877207">
    <w:abstractNumId w:val="6"/>
  </w:num>
  <w:num w:numId="6" w16cid:durableId="1324357540">
    <w:abstractNumId w:val="5"/>
  </w:num>
  <w:num w:numId="7" w16cid:durableId="849180231">
    <w:abstractNumId w:val="7"/>
  </w:num>
  <w:num w:numId="8" w16cid:durableId="1805614022">
    <w:abstractNumId w:val="3"/>
  </w:num>
  <w:num w:numId="9" w16cid:durableId="108908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690"/>
    <w:rsid w:val="000124F9"/>
    <w:rsid w:val="00024690"/>
    <w:rsid w:val="00043006"/>
    <w:rsid w:val="0006190E"/>
    <w:rsid w:val="000647E7"/>
    <w:rsid w:val="00082AD4"/>
    <w:rsid w:val="00093A53"/>
    <w:rsid w:val="000B1A6E"/>
    <w:rsid w:val="000D2981"/>
    <w:rsid w:val="000D2EEC"/>
    <w:rsid w:val="000F50AD"/>
    <w:rsid w:val="000F761D"/>
    <w:rsid w:val="001033BE"/>
    <w:rsid w:val="00114B8E"/>
    <w:rsid w:val="001B2968"/>
    <w:rsid w:val="001E75AE"/>
    <w:rsid w:val="0025205B"/>
    <w:rsid w:val="002B41B3"/>
    <w:rsid w:val="00316163"/>
    <w:rsid w:val="00337D02"/>
    <w:rsid w:val="00373E01"/>
    <w:rsid w:val="003748F5"/>
    <w:rsid w:val="003B040A"/>
    <w:rsid w:val="003B2DC8"/>
    <w:rsid w:val="003D3B3F"/>
    <w:rsid w:val="003E7B7A"/>
    <w:rsid w:val="0042376A"/>
    <w:rsid w:val="00426303"/>
    <w:rsid w:val="004471DB"/>
    <w:rsid w:val="00450DE2"/>
    <w:rsid w:val="00456690"/>
    <w:rsid w:val="0048217A"/>
    <w:rsid w:val="004A73C1"/>
    <w:rsid w:val="004B4AE1"/>
    <w:rsid w:val="004B507D"/>
    <w:rsid w:val="00527867"/>
    <w:rsid w:val="00551A64"/>
    <w:rsid w:val="00552678"/>
    <w:rsid w:val="00562B24"/>
    <w:rsid w:val="00570431"/>
    <w:rsid w:val="00574F11"/>
    <w:rsid w:val="005F742A"/>
    <w:rsid w:val="00672844"/>
    <w:rsid w:val="006A16C8"/>
    <w:rsid w:val="006A46B5"/>
    <w:rsid w:val="006A598D"/>
    <w:rsid w:val="006B403A"/>
    <w:rsid w:val="006C4ECD"/>
    <w:rsid w:val="006E141D"/>
    <w:rsid w:val="006E2743"/>
    <w:rsid w:val="007203E1"/>
    <w:rsid w:val="00723C2F"/>
    <w:rsid w:val="0075374D"/>
    <w:rsid w:val="007660AA"/>
    <w:rsid w:val="00774797"/>
    <w:rsid w:val="00784034"/>
    <w:rsid w:val="00787AAF"/>
    <w:rsid w:val="007A5878"/>
    <w:rsid w:val="007C568C"/>
    <w:rsid w:val="007F2208"/>
    <w:rsid w:val="00871A23"/>
    <w:rsid w:val="00875448"/>
    <w:rsid w:val="00882FDD"/>
    <w:rsid w:val="008876A0"/>
    <w:rsid w:val="00890804"/>
    <w:rsid w:val="00891920"/>
    <w:rsid w:val="00892C87"/>
    <w:rsid w:val="00895E03"/>
    <w:rsid w:val="008C13DA"/>
    <w:rsid w:val="008E0D1E"/>
    <w:rsid w:val="008F6AC3"/>
    <w:rsid w:val="00901131"/>
    <w:rsid w:val="00905EDA"/>
    <w:rsid w:val="00976C6F"/>
    <w:rsid w:val="00977B4E"/>
    <w:rsid w:val="00982F75"/>
    <w:rsid w:val="009848AD"/>
    <w:rsid w:val="009D4ECE"/>
    <w:rsid w:val="009F56F5"/>
    <w:rsid w:val="00A43D7D"/>
    <w:rsid w:val="00A442A8"/>
    <w:rsid w:val="00A46C04"/>
    <w:rsid w:val="00A53FA3"/>
    <w:rsid w:val="00A82FE6"/>
    <w:rsid w:val="00A85E4D"/>
    <w:rsid w:val="00A90013"/>
    <w:rsid w:val="00A91439"/>
    <w:rsid w:val="00AC3694"/>
    <w:rsid w:val="00AE7C82"/>
    <w:rsid w:val="00AF4574"/>
    <w:rsid w:val="00B06EEF"/>
    <w:rsid w:val="00B32777"/>
    <w:rsid w:val="00B62887"/>
    <w:rsid w:val="00B74920"/>
    <w:rsid w:val="00B771A1"/>
    <w:rsid w:val="00BC731C"/>
    <w:rsid w:val="00BE059F"/>
    <w:rsid w:val="00BE3A87"/>
    <w:rsid w:val="00BE3BA7"/>
    <w:rsid w:val="00C3397C"/>
    <w:rsid w:val="00C51EFF"/>
    <w:rsid w:val="00CA2892"/>
    <w:rsid w:val="00D14BB9"/>
    <w:rsid w:val="00D300FC"/>
    <w:rsid w:val="00D41287"/>
    <w:rsid w:val="00D439E7"/>
    <w:rsid w:val="00D60793"/>
    <w:rsid w:val="00D67677"/>
    <w:rsid w:val="00D91DAD"/>
    <w:rsid w:val="00DA096A"/>
    <w:rsid w:val="00DF7481"/>
    <w:rsid w:val="00E23642"/>
    <w:rsid w:val="00E23CD3"/>
    <w:rsid w:val="00E33431"/>
    <w:rsid w:val="00E338F3"/>
    <w:rsid w:val="00E40978"/>
    <w:rsid w:val="00E750B0"/>
    <w:rsid w:val="00EA6EB1"/>
    <w:rsid w:val="00EF00FD"/>
    <w:rsid w:val="00F11954"/>
    <w:rsid w:val="00F340E8"/>
    <w:rsid w:val="00F350CE"/>
    <w:rsid w:val="00F56DD6"/>
    <w:rsid w:val="00F92740"/>
    <w:rsid w:val="00F93644"/>
    <w:rsid w:val="00FA699F"/>
    <w:rsid w:val="00FB5901"/>
    <w:rsid w:val="00FC099F"/>
    <w:rsid w:val="00FE2591"/>
    <w:rsid w:val="00FE34B3"/>
    <w:rsid w:val="00FE42DC"/>
    <w:rsid w:val="00FE4BE4"/>
    <w:rsid w:val="00FE6F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BB431"/>
  <w15:chartTrackingRefBased/>
  <w15:docId w15:val="{45D70CD7-EFE0-4936-B2D5-7278911D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0E8"/>
    <w:pPr>
      <w:spacing w:line="256" w:lineRule="auto"/>
    </w:pPr>
    <w:rPr>
      <w:rFonts w:asciiTheme="minorHAnsi" w:hAnsiTheme="minorHAnsi"/>
      <w:sz w:val="22"/>
    </w:rPr>
  </w:style>
  <w:style w:type="paragraph" w:styleId="Heading1">
    <w:name w:val="heading 1"/>
    <w:basedOn w:val="Normal"/>
    <w:next w:val="Normal"/>
    <w:link w:val="Heading1Char"/>
    <w:uiPriority w:val="9"/>
    <w:qFormat/>
    <w:rsid w:val="00456690"/>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6690"/>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6690"/>
    <w:pPr>
      <w:keepNext/>
      <w:keepLines/>
      <w:spacing w:before="160" w:after="80" w:line="259"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6690"/>
    <w:pPr>
      <w:keepNext/>
      <w:keepLines/>
      <w:spacing w:before="80" w:after="40" w:line="259" w:lineRule="auto"/>
      <w:outlineLvl w:val="3"/>
    </w:pPr>
    <w:rPr>
      <w:rFonts w:eastAsiaTheme="majorEastAsia" w:cstheme="majorBidi"/>
      <w:i/>
      <w:iCs/>
      <w:color w:val="2F5496" w:themeColor="accent1" w:themeShade="BF"/>
      <w:sz w:val="20"/>
    </w:rPr>
  </w:style>
  <w:style w:type="paragraph" w:styleId="Heading5">
    <w:name w:val="heading 5"/>
    <w:basedOn w:val="Normal"/>
    <w:next w:val="Normal"/>
    <w:link w:val="Heading5Char"/>
    <w:uiPriority w:val="9"/>
    <w:semiHidden/>
    <w:unhideWhenUsed/>
    <w:qFormat/>
    <w:rsid w:val="00456690"/>
    <w:pPr>
      <w:keepNext/>
      <w:keepLines/>
      <w:spacing w:before="80" w:after="40" w:line="259" w:lineRule="auto"/>
      <w:outlineLvl w:val="4"/>
    </w:pPr>
    <w:rPr>
      <w:rFonts w:eastAsiaTheme="majorEastAsia" w:cstheme="majorBidi"/>
      <w:color w:val="2F5496" w:themeColor="accent1" w:themeShade="BF"/>
      <w:sz w:val="20"/>
    </w:rPr>
  </w:style>
  <w:style w:type="paragraph" w:styleId="Heading6">
    <w:name w:val="heading 6"/>
    <w:basedOn w:val="Normal"/>
    <w:next w:val="Normal"/>
    <w:link w:val="Heading6Char"/>
    <w:uiPriority w:val="9"/>
    <w:semiHidden/>
    <w:unhideWhenUsed/>
    <w:qFormat/>
    <w:rsid w:val="00456690"/>
    <w:pPr>
      <w:keepNext/>
      <w:keepLines/>
      <w:spacing w:before="40" w:after="0" w:line="259" w:lineRule="auto"/>
      <w:outlineLvl w:val="5"/>
    </w:pPr>
    <w:rPr>
      <w:rFonts w:eastAsiaTheme="majorEastAsia" w:cstheme="majorBidi"/>
      <w:i/>
      <w:iCs/>
      <w:color w:val="595959" w:themeColor="text1" w:themeTint="A6"/>
      <w:sz w:val="20"/>
    </w:rPr>
  </w:style>
  <w:style w:type="paragraph" w:styleId="Heading7">
    <w:name w:val="heading 7"/>
    <w:basedOn w:val="Normal"/>
    <w:next w:val="Normal"/>
    <w:link w:val="Heading7Char"/>
    <w:uiPriority w:val="9"/>
    <w:semiHidden/>
    <w:unhideWhenUsed/>
    <w:qFormat/>
    <w:rsid w:val="00456690"/>
    <w:pPr>
      <w:keepNext/>
      <w:keepLines/>
      <w:spacing w:before="40" w:after="0" w:line="259" w:lineRule="auto"/>
      <w:outlineLvl w:val="6"/>
    </w:pPr>
    <w:rPr>
      <w:rFonts w:eastAsiaTheme="majorEastAsia" w:cstheme="majorBidi"/>
      <w:color w:val="595959" w:themeColor="text1" w:themeTint="A6"/>
      <w:sz w:val="20"/>
    </w:rPr>
  </w:style>
  <w:style w:type="paragraph" w:styleId="Heading8">
    <w:name w:val="heading 8"/>
    <w:basedOn w:val="Normal"/>
    <w:next w:val="Normal"/>
    <w:link w:val="Heading8Char"/>
    <w:uiPriority w:val="9"/>
    <w:semiHidden/>
    <w:unhideWhenUsed/>
    <w:qFormat/>
    <w:rsid w:val="00456690"/>
    <w:pPr>
      <w:keepNext/>
      <w:keepLines/>
      <w:spacing w:after="0" w:line="259" w:lineRule="auto"/>
      <w:outlineLvl w:val="7"/>
    </w:pPr>
    <w:rPr>
      <w:rFonts w:eastAsiaTheme="majorEastAsia" w:cstheme="majorBidi"/>
      <w:i/>
      <w:iCs/>
      <w:color w:val="272727" w:themeColor="text1" w:themeTint="D8"/>
      <w:sz w:val="20"/>
    </w:rPr>
  </w:style>
  <w:style w:type="paragraph" w:styleId="Heading9">
    <w:name w:val="heading 9"/>
    <w:basedOn w:val="Normal"/>
    <w:next w:val="Normal"/>
    <w:link w:val="Heading9Char"/>
    <w:uiPriority w:val="9"/>
    <w:semiHidden/>
    <w:unhideWhenUsed/>
    <w:qFormat/>
    <w:rsid w:val="00456690"/>
    <w:pPr>
      <w:keepNext/>
      <w:keepLines/>
      <w:spacing w:after="0" w:line="259" w:lineRule="auto"/>
      <w:outlineLvl w:val="8"/>
    </w:pPr>
    <w:rPr>
      <w:rFonts w:eastAsiaTheme="majorEastAsia" w:cstheme="majorBidi"/>
      <w:color w:val="272727" w:themeColor="text1" w:themeTint="D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66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66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669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669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5669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5669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5669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5669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5669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566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66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6690"/>
    <w:pPr>
      <w:numPr>
        <w:ilvl w:val="1"/>
      </w:numPr>
      <w:spacing w:line="259"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669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56690"/>
    <w:pPr>
      <w:spacing w:before="160" w:line="259" w:lineRule="auto"/>
      <w:jc w:val="center"/>
    </w:pPr>
    <w:rPr>
      <w:rFonts w:ascii="Verdana" w:hAnsi="Verdana"/>
      <w:i/>
      <w:iCs/>
      <w:color w:val="404040" w:themeColor="text1" w:themeTint="BF"/>
      <w:sz w:val="20"/>
    </w:rPr>
  </w:style>
  <w:style w:type="character" w:customStyle="1" w:styleId="QuoteChar">
    <w:name w:val="Quote Char"/>
    <w:basedOn w:val="DefaultParagraphFont"/>
    <w:link w:val="Quote"/>
    <w:uiPriority w:val="29"/>
    <w:rsid w:val="0045669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56690"/>
    <w:pPr>
      <w:spacing w:line="259" w:lineRule="auto"/>
      <w:ind w:left="720"/>
      <w:contextualSpacing/>
    </w:pPr>
    <w:rPr>
      <w:rFonts w:ascii="Verdana" w:hAnsi="Verdana"/>
      <w:sz w:val="20"/>
    </w:rPr>
  </w:style>
  <w:style w:type="character" w:styleId="IntenseEmphasis">
    <w:name w:val="Intense Emphasis"/>
    <w:basedOn w:val="DefaultParagraphFont"/>
    <w:uiPriority w:val="21"/>
    <w:qFormat/>
    <w:rsid w:val="00456690"/>
    <w:rPr>
      <w:i/>
      <w:iCs/>
      <w:color w:val="2F5496" w:themeColor="accent1" w:themeShade="BF"/>
    </w:rPr>
  </w:style>
  <w:style w:type="paragraph" w:styleId="IntenseQuote">
    <w:name w:val="Intense Quote"/>
    <w:basedOn w:val="Normal"/>
    <w:next w:val="Normal"/>
    <w:link w:val="IntenseQuoteChar"/>
    <w:uiPriority w:val="30"/>
    <w:qFormat/>
    <w:rsid w:val="0045669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Verdana" w:hAnsi="Verdana"/>
      <w:i/>
      <w:iCs/>
      <w:color w:val="2F5496" w:themeColor="accent1" w:themeShade="BF"/>
      <w:sz w:val="20"/>
    </w:rPr>
  </w:style>
  <w:style w:type="character" w:customStyle="1" w:styleId="IntenseQuoteChar">
    <w:name w:val="Intense Quote Char"/>
    <w:basedOn w:val="DefaultParagraphFont"/>
    <w:link w:val="IntenseQuote"/>
    <w:uiPriority w:val="30"/>
    <w:rsid w:val="00456690"/>
    <w:rPr>
      <w:i/>
      <w:iCs/>
      <w:color w:val="2F5496" w:themeColor="accent1" w:themeShade="BF"/>
    </w:rPr>
  </w:style>
  <w:style w:type="character" w:styleId="IntenseReference">
    <w:name w:val="Intense Reference"/>
    <w:basedOn w:val="DefaultParagraphFont"/>
    <w:uiPriority w:val="32"/>
    <w:qFormat/>
    <w:rsid w:val="00456690"/>
    <w:rPr>
      <w:b/>
      <w:bCs/>
      <w:smallCaps/>
      <w:color w:val="2F5496" w:themeColor="accent1" w:themeShade="BF"/>
      <w:spacing w:val="5"/>
    </w:rPr>
  </w:style>
  <w:style w:type="character" w:styleId="Hyperlink">
    <w:name w:val="Hyperlink"/>
    <w:basedOn w:val="DefaultParagraphFont"/>
    <w:uiPriority w:val="99"/>
    <w:unhideWhenUsed/>
    <w:rsid w:val="00F340E8"/>
    <w:rPr>
      <w:color w:val="0563C1" w:themeColor="hyperlink"/>
      <w:u w:val="single"/>
    </w:rPr>
  </w:style>
  <w:style w:type="character" w:styleId="UnresolvedMention">
    <w:name w:val="Unresolved Mention"/>
    <w:basedOn w:val="DefaultParagraphFont"/>
    <w:uiPriority w:val="99"/>
    <w:semiHidden/>
    <w:unhideWhenUsed/>
    <w:rsid w:val="00F340E8"/>
    <w:rPr>
      <w:color w:val="605E5C"/>
      <w:shd w:val="clear" w:color="auto" w:fill="E1DFDD"/>
    </w:rPr>
  </w:style>
  <w:style w:type="paragraph" w:styleId="Revision">
    <w:name w:val="Revision"/>
    <w:hidden/>
    <w:uiPriority w:val="99"/>
    <w:semiHidden/>
    <w:rsid w:val="00D41287"/>
    <w:pPr>
      <w:spacing w:after="0" w:line="240" w:lineRule="auto"/>
    </w:pPr>
    <w:rPr>
      <w:rFonts w:asciiTheme="minorHAnsi" w:hAnsiTheme="minorHAnsi"/>
      <w:sz w:val="22"/>
    </w:rPr>
  </w:style>
  <w:style w:type="character" w:styleId="CommentReference">
    <w:name w:val="annotation reference"/>
    <w:basedOn w:val="DefaultParagraphFont"/>
    <w:uiPriority w:val="99"/>
    <w:semiHidden/>
    <w:unhideWhenUsed/>
    <w:rsid w:val="00A442A8"/>
    <w:rPr>
      <w:sz w:val="16"/>
      <w:szCs w:val="16"/>
    </w:rPr>
  </w:style>
  <w:style w:type="paragraph" w:styleId="CommentText">
    <w:name w:val="annotation text"/>
    <w:basedOn w:val="Normal"/>
    <w:link w:val="CommentTextChar"/>
    <w:uiPriority w:val="99"/>
    <w:unhideWhenUsed/>
    <w:rsid w:val="00A442A8"/>
    <w:pPr>
      <w:spacing w:line="240" w:lineRule="auto"/>
    </w:pPr>
    <w:rPr>
      <w:sz w:val="20"/>
      <w:szCs w:val="20"/>
    </w:rPr>
  </w:style>
  <w:style w:type="character" w:customStyle="1" w:styleId="CommentTextChar">
    <w:name w:val="Comment Text Char"/>
    <w:basedOn w:val="DefaultParagraphFont"/>
    <w:link w:val="CommentText"/>
    <w:uiPriority w:val="99"/>
    <w:rsid w:val="00A442A8"/>
    <w:rPr>
      <w:rFonts w:asciiTheme="minorHAnsi" w:hAnsiTheme="minorHAnsi"/>
      <w:szCs w:val="20"/>
    </w:rPr>
  </w:style>
  <w:style w:type="paragraph" w:styleId="CommentSubject">
    <w:name w:val="annotation subject"/>
    <w:basedOn w:val="CommentText"/>
    <w:next w:val="CommentText"/>
    <w:link w:val="CommentSubjectChar"/>
    <w:uiPriority w:val="99"/>
    <w:semiHidden/>
    <w:unhideWhenUsed/>
    <w:rsid w:val="00A442A8"/>
    <w:rPr>
      <w:b/>
      <w:bCs/>
    </w:rPr>
  </w:style>
  <w:style w:type="character" w:customStyle="1" w:styleId="CommentSubjectChar">
    <w:name w:val="Comment Subject Char"/>
    <w:basedOn w:val="CommentTextChar"/>
    <w:link w:val="CommentSubject"/>
    <w:uiPriority w:val="99"/>
    <w:semiHidden/>
    <w:rsid w:val="00A442A8"/>
    <w:rPr>
      <w:rFonts w:asciiTheme="minorHAnsi" w:hAnsiTheme="minorHAnsi"/>
      <w:b/>
      <w:bCs/>
      <w:szCs w:val="20"/>
    </w:rPr>
  </w:style>
  <w:style w:type="paragraph" w:styleId="NormalWeb">
    <w:name w:val="Normal (Web)"/>
    <w:basedOn w:val="Normal"/>
    <w:uiPriority w:val="99"/>
    <w:semiHidden/>
    <w:unhideWhenUsed/>
    <w:rsid w:val="006A46B5"/>
    <w:rPr>
      <w:rFonts w:ascii="Times New Roman" w:hAnsi="Times New Roman" w:cs="Times New Roman"/>
      <w:sz w:val="24"/>
      <w:szCs w:val="24"/>
    </w:rPr>
  </w:style>
  <w:style w:type="paragraph" w:styleId="Header">
    <w:name w:val="header"/>
    <w:basedOn w:val="Normal"/>
    <w:link w:val="HeaderChar"/>
    <w:uiPriority w:val="99"/>
    <w:unhideWhenUsed/>
    <w:rsid w:val="00F93644"/>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3644"/>
    <w:rPr>
      <w:rFonts w:asciiTheme="minorHAnsi" w:hAnsiTheme="minorHAnsi"/>
      <w:sz w:val="22"/>
    </w:rPr>
  </w:style>
  <w:style w:type="paragraph" w:styleId="Footer">
    <w:name w:val="footer"/>
    <w:basedOn w:val="Normal"/>
    <w:link w:val="FooterChar"/>
    <w:uiPriority w:val="99"/>
    <w:unhideWhenUsed/>
    <w:rsid w:val="00F9364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3644"/>
    <w:rPr>
      <w:rFonts w:asciiTheme="minorHAnsi" w:hAnsiTheme="minorHAnsi"/>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93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475">
      <w:bodyDiv w:val="1"/>
      <w:marLeft w:val="0"/>
      <w:marRight w:val="0"/>
      <w:marTop w:val="0"/>
      <w:marBottom w:val="0"/>
      <w:divBdr>
        <w:top w:val="none" w:sz="0" w:space="0" w:color="auto"/>
        <w:left w:val="none" w:sz="0" w:space="0" w:color="auto"/>
        <w:bottom w:val="none" w:sz="0" w:space="0" w:color="auto"/>
        <w:right w:val="none" w:sz="0" w:space="0" w:color="auto"/>
      </w:divBdr>
    </w:div>
    <w:div w:id="526140970">
      <w:bodyDiv w:val="1"/>
      <w:marLeft w:val="0"/>
      <w:marRight w:val="0"/>
      <w:marTop w:val="0"/>
      <w:marBottom w:val="0"/>
      <w:divBdr>
        <w:top w:val="none" w:sz="0" w:space="0" w:color="auto"/>
        <w:left w:val="none" w:sz="0" w:space="0" w:color="auto"/>
        <w:bottom w:val="none" w:sz="0" w:space="0" w:color="auto"/>
        <w:right w:val="none" w:sz="0" w:space="0" w:color="auto"/>
      </w:divBdr>
    </w:div>
    <w:div w:id="6121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3595</Words>
  <Characters>2050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Viktorija Soldatenko</cp:lastModifiedBy>
  <cp:revision>3</cp:revision>
  <cp:lastPrinted>2026-05-03T13:57:00Z</cp:lastPrinted>
  <dcterms:created xsi:type="dcterms:W3CDTF">2026-05-04T15:14:00Z</dcterms:created>
  <dcterms:modified xsi:type="dcterms:W3CDTF">2026-05-04T15:29:00Z</dcterms:modified>
</cp:coreProperties>
</file>